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center"/>
        <w:rPr>
          <w:rFonts w:hint="eastAsia" w:ascii="宋体" w:hAnsi="宋体"/>
          <w:b/>
          <w:sz w:val="32"/>
          <w:szCs w:val="32"/>
        </w:rPr>
      </w:pPr>
    </w:p>
    <w:p>
      <w:pPr>
        <w:spacing w:line="600" w:lineRule="exact"/>
        <w:jc w:val="both"/>
        <w:rPr>
          <w:rFonts w:hint="eastAsia" w:ascii="宋体" w:hAnsi="宋体" w:eastAsia="宋体"/>
          <w:b/>
          <w:sz w:val="30"/>
          <w:szCs w:val="30"/>
          <w:lang w:eastAsia="zh-CN"/>
        </w:rPr>
      </w:pPr>
    </w:p>
    <w:p>
      <w:pPr>
        <w:spacing w:line="600" w:lineRule="exact"/>
        <w:jc w:val="center"/>
        <w:rPr>
          <w:rFonts w:hint="eastAsia" w:ascii="仿宋_GB2312" w:hAnsi="仿宋_GB2312" w:eastAsia="仿宋_GB2312" w:cs="仿宋_GB2312"/>
          <w:b w:val="0"/>
          <w:bCs/>
          <w:sz w:val="30"/>
          <w:szCs w:val="30"/>
          <w:lang w:val="en-US" w:eastAsia="zh-CN"/>
        </w:rPr>
      </w:pPr>
      <w:r>
        <w:rPr>
          <w:rFonts w:hint="eastAsia" w:ascii="仿宋_GB2312" w:hAnsi="仿宋_GB2312" w:eastAsia="仿宋_GB2312" w:cs="仿宋_GB2312"/>
          <w:b w:val="0"/>
          <w:bCs/>
          <w:sz w:val="30"/>
          <w:szCs w:val="30"/>
          <w:lang w:eastAsia="zh-CN"/>
        </w:rPr>
        <w:t>临协办发〔</w:t>
      </w:r>
      <w:r>
        <w:rPr>
          <w:rFonts w:hint="eastAsia" w:ascii="仿宋_GB2312" w:hAnsi="仿宋_GB2312" w:eastAsia="仿宋_GB2312" w:cs="仿宋_GB2312"/>
          <w:b w:val="0"/>
          <w:bCs/>
          <w:sz w:val="30"/>
          <w:szCs w:val="30"/>
          <w:lang w:val="en-US" w:eastAsia="zh-CN"/>
        </w:rPr>
        <w:t>2022</w:t>
      </w:r>
      <w:r>
        <w:rPr>
          <w:rFonts w:hint="eastAsia" w:ascii="仿宋_GB2312" w:hAnsi="仿宋_GB2312" w:eastAsia="仿宋_GB2312" w:cs="仿宋_GB2312"/>
          <w:b w:val="0"/>
          <w:bCs/>
          <w:sz w:val="30"/>
          <w:szCs w:val="30"/>
          <w:lang w:eastAsia="zh-CN"/>
        </w:rPr>
        <w:t>〕</w:t>
      </w:r>
      <w:r>
        <w:rPr>
          <w:rFonts w:hint="eastAsia" w:ascii="仿宋_GB2312" w:hAnsi="仿宋_GB2312" w:eastAsia="仿宋_GB2312" w:cs="仿宋_GB2312"/>
          <w:b w:val="0"/>
          <w:bCs/>
          <w:sz w:val="30"/>
          <w:szCs w:val="30"/>
          <w:lang w:val="en-US" w:eastAsia="zh-CN"/>
        </w:rPr>
        <w:t>2号</w:t>
      </w:r>
    </w:p>
    <w:p>
      <w:pPr>
        <w:spacing w:line="600" w:lineRule="exact"/>
        <w:jc w:val="both"/>
        <w:rPr>
          <w:rFonts w:hint="eastAsia" w:ascii="宋体" w:hAnsi="宋体"/>
          <w:b/>
          <w:sz w:val="44"/>
          <w:szCs w:val="44"/>
        </w:rPr>
      </w:pPr>
      <w:bookmarkStart w:id="0" w:name="_GoBack"/>
      <w:bookmarkEnd w:id="0"/>
    </w:p>
    <w:p>
      <w:pPr>
        <w:spacing w:line="600" w:lineRule="exact"/>
        <w:jc w:val="both"/>
        <w:rPr>
          <w:rFonts w:hint="eastAsia" w:ascii="宋体" w:hAnsi="宋体"/>
          <w:b/>
          <w:sz w:val="44"/>
          <w:szCs w:val="44"/>
        </w:rPr>
      </w:pPr>
    </w:p>
    <w:p>
      <w:pPr>
        <w:spacing w:line="600" w:lineRule="exact"/>
        <w:jc w:val="center"/>
        <w:rPr>
          <w:rFonts w:ascii="宋体" w:hAnsi="宋体"/>
          <w:b/>
          <w:sz w:val="44"/>
          <w:szCs w:val="44"/>
        </w:rPr>
      </w:pPr>
      <w:r>
        <w:rPr>
          <w:rFonts w:hint="eastAsia" w:ascii="宋体" w:hAnsi="宋体"/>
          <w:b/>
          <w:sz w:val="44"/>
          <w:szCs w:val="44"/>
        </w:rPr>
        <w:t>关于征集政协第</w:t>
      </w:r>
      <w:r>
        <w:rPr>
          <w:rFonts w:hint="eastAsia" w:ascii="宋体" w:hAnsi="宋体"/>
          <w:b/>
          <w:sz w:val="44"/>
          <w:szCs w:val="44"/>
          <w:lang w:val="en-US" w:eastAsia="zh-CN"/>
        </w:rPr>
        <w:t>五</w:t>
      </w:r>
      <w:r>
        <w:rPr>
          <w:rFonts w:hint="eastAsia" w:ascii="宋体" w:hAnsi="宋体"/>
          <w:b/>
          <w:sz w:val="44"/>
          <w:szCs w:val="44"/>
        </w:rPr>
        <w:t>届临汾市委员会</w:t>
      </w:r>
    </w:p>
    <w:p>
      <w:pPr>
        <w:spacing w:line="600" w:lineRule="exact"/>
        <w:jc w:val="center"/>
        <w:rPr>
          <w:rFonts w:hint="eastAsia" w:ascii="宋体" w:hAnsi="宋体"/>
          <w:b/>
          <w:sz w:val="44"/>
          <w:szCs w:val="44"/>
        </w:rPr>
      </w:pPr>
      <w:r>
        <w:rPr>
          <w:rFonts w:hint="eastAsia" w:ascii="宋体" w:hAnsi="宋体"/>
          <w:b/>
          <w:sz w:val="44"/>
          <w:szCs w:val="44"/>
        </w:rPr>
        <w:t>第</w:t>
      </w:r>
      <w:r>
        <w:rPr>
          <w:rFonts w:hint="eastAsia" w:ascii="宋体" w:hAnsi="宋体"/>
          <w:b/>
          <w:sz w:val="44"/>
          <w:szCs w:val="44"/>
          <w:lang w:val="en-US" w:eastAsia="zh-CN"/>
        </w:rPr>
        <w:t>一</w:t>
      </w:r>
      <w:r>
        <w:rPr>
          <w:rFonts w:hint="eastAsia" w:ascii="宋体" w:hAnsi="宋体"/>
          <w:b/>
          <w:sz w:val="44"/>
          <w:szCs w:val="44"/>
        </w:rPr>
        <w:t>次会议议政发言材料的通知</w:t>
      </w:r>
    </w:p>
    <w:p>
      <w:pPr>
        <w:spacing w:line="600" w:lineRule="exact"/>
        <w:jc w:val="center"/>
        <w:rPr>
          <w:rFonts w:hint="eastAsia" w:ascii="仿宋_GB2312" w:eastAsia="仿宋_GB2312"/>
          <w:b/>
          <w:sz w:val="44"/>
          <w:szCs w:val="44"/>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i w:val="0"/>
          <w:iCs w:val="0"/>
          <w:caps w:val="0"/>
          <w:color w:val="000000"/>
          <w:spacing w:val="0"/>
          <w:sz w:val="32"/>
          <w:szCs w:val="32"/>
        </w:rPr>
        <w:t>各县（市、区）政协</w:t>
      </w:r>
      <w:r>
        <w:rPr>
          <w:rFonts w:hint="eastAsia" w:ascii="仿宋_GB2312" w:hAnsi="仿宋_GB2312" w:eastAsia="仿宋_GB2312" w:cs="仿宋_GB2312"/>
          <w:b/>
          <w:bCs/>
          <w:i w:val="0"/>
          <w:iCs w:val="0"/>
          <w:caps w:val="0"/>
          <w:color w:val="000000"/>
          <w:spacing w:val="0"/>
          <w:sz w:val="32"/>
          <w:szCs w:val="32"/>
          <w:lang w:eastAsia="zh-CN"/>
        </w:rPr>
        <w:t>、</w:t>
      </w:r>
      <w:r>
        <w:rPr>
          <w:rFonts w:hint="eastAsia" w:ascii="仿宋_GB2312" w:hAnsi="仿宋_GB2312" w:eastAsia="仿宋_GB2312" w:cs="仿宋_GB2312"/>
          <w:b/>
          <w:bCs/>
          <w:sz w:val="32"/>
          <w:szCs w:val="32"/>
        </w:rPr>
        <w:t>各民主党派市委</w:t>
      </w:r>
      <w:r>
        <w:rPr>
          <w:rFonts w:hint="eastAsia" w:ascii="仿宋_GB2312" w:hAnsi="仿宋_GB2312" w:eastAsia="仿宋_GB2312" w:cs="仿宋_GB2312"/>
          <w:b/>
          <w:bCs/>
          <w:sz w:val="32"/>
          <w:szCs w:val="32"/>
          <w:lang w:eastAsia="zh-CN"/>
        </w:rPr>
        <w:t>会</w:t>
      </w:r>
      <w:r>
        <w:rPr>
          <w:rFonts w:hint="eastAsia" w:ascii="仿宋_GB2312" w:hAnsi="仿宋_GB2312" w:eastAsia="仿宋_GB2312" w:cs="仿宋_GB2312"/>
          <w:b/>
          <w:bCs/>
          <w:sz w:val="32"/>
          <w:szCs w:val="32"/>
        </w:rPr>
        <w:t>、市工商联、市政协各专门委员会、全体市政协委员：</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五届市政协一次会议拟于2022年2月中旬召开，</w:t>
      </w:r>
      <w:r>
        <w:rPr>
          <w:rFonts w:hint="eastAsia" w:ascii="仿宋_GB2312" w:eastAsia="仿宋_GB2312"/>
          <w:sz w:val="32"/>
          <w:szCs w:val="32"/>
        </w:rPr>
        <w:t>议政发言是政协全会的重要内容，</w:t>
      </w:r>
      <w:r>
        <w:rPr>
          <w:rFonts w:hint="eastAsia" w:ascii="仿宋_GB2312" w:eastAsia="仿宋_GB2312"/>
          <w:sz w:val="32"/>
          <w:szCs w:val="32"/>
          <w:lang w:val="en-US" w:eastAsia="zh-CN"/>
        </w:rPr>
        <w:t>也</w:t>
      </w:r>
      <w:r>
        <w:rPr>
          <w:rFonts w:hint="eastAsia" w:ascii="仿宋_GB2312" w:eastAsia="仿宋_GB2312"/>
          <w:sz w:val="32"/>
          <w:szCs w:val="32"/>
          <w:lang w:eastAsia="zh-CN"/>
        </w:rPr>
        <w:t>是发挥委员主体作用、强化委员责任担当</w:t>
      </w:r>
      <w:r>
        <w:rPr>
          <w:rFonts w:hint="eastAsia" w:ascii="仿宋_GB2312" w:eastAsia="仿宋_GB2312"/>
          <w:sz w:val="32"/>
          <w:szCs w:val="32"/>
        </w:rPr>
        <w:t>的重要形式</w:t>
      </w:r>
      <w:r>
        <w:rPr>
          <w:rFonts w:hint="eastAsia" w:ascii="仿宋_GB2312" w:eastAsia="仿宋_GB2312"/>
          <w:sz w:val="32"/>
          <w:szCs w:val="32"/>
          <w:lang w:eastAsia="zh-CN"/>
        </w:rPr>
        <w:t>。</w:t>
      </w:r>
      <w:r>
        <w:rPr>
          <w:rFonts w:hint="eastAsia" w:ascii="仿宋_GB2312" w:eastAsia="仿宋_GB2312"/>
          <w:sz w:val="32"/>
          <w:szCs w:val="32"/>
        </w:rPr>
        <w:t>现将有关征集议政发言材料事项通知如下：</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1.议政发言材料要以</w:t>
      </w:r>
      <w:r>
        <w:rPr>
          <w:rFonts w:hint="eastAsia" w:ascii="仿宋_GB2312" w:eastAsia="仿宋_GB2312"/>
          <w:sz w:val="32"/>
          <w:szCs w:val="32"/>
          <w:lang w:val="en-US" w:eastAsia="zh-CN"/>
        </w:rPr>
        <w:t>习近平新时代中国特色社会主义思想</w:t>
      </w:r>
      <w:r>
        <w:rPr>
          <w:rFonts w:hint="eastAsia" w:ascii="仿宋_GB2312" w:eastAsia="仿宋_GB2312"/>
          <w:sz w:val="32"/>
          <w:szCs w:val="32"/>
        </w:rPr>
        <w:t>为指导，</w:t>
      </w:r>
      <w:r>
        <w:rPr>
          <w:rFonts w:hint="eastAsia" w:ascii="仿宋_GB2312" w:eastAsia="仿宋_GB2312"/>
          <w:sz w:val="32"/>
          <w:szCs w:val="32"/>
          <w:lang w:eastAsia="zh-CN"/>
        </w:rPr>
        <w:t>认真学习</w:t>
      </w:r>
      <w:r>
        <w:rPr>
          <w:rFonts w:hint="eastAsia" w:ascii="仿宋_GB2312" w:eastAsia="仿宋_GB2312"/>
          <w:sz w:val="32"/>
          <w:szCs w:val="32"/>
        </w:rPr>
        <w:t>贯彻</w:t>
      </w:r>
      <w:r>
        <w:rPr>
          <w:rFonts w:hint="eastAsia" w:ascii="仿宋_GB2312" w:eastAsia="仿宋_GB2312"/>
          <w:sz w:val="32"/>
          <w:szCs w:val="32"/>
          <w:lang w:val="en-US" w:eastAsia="zh-CN"/>
        </w:rPr>
        <w:t>中共十九大和十九届历次全会精神、2022年中央经济工作会议精神、</w:t>
      </w:r>
      <w:r>
        <w:rPr>
          <w:rFonts w:hint="eastAsia" w:ascii="仿宋_GB2312" w:eastAsia="仿宋_GB2312"/>
          <w:sz w:val="32"/>
          <w:szCs w:val="32"/>
        </w:rPr>
        <w:t>习近平总书记</w:t>
      </w:r>
      <w:r>
        <w:rPr>
          <w:rFonts w:hint="eastAsia" w:ascii="仿宋_GB2312" w:eastAsia="仿宋_GB2312"/>
          <w:sz w:val="32"/>
          <w:szCs w:val="32"/>
          <w:lang w:val="en-US" w:eastAsia="zh-CN"/>
        </w:rPr>
        <w:t>视察山西</w:t>
      </w:r>
      <w:r>
        <w:rPr>
          <w:rFonts w:hint="eastAsia" w:ascii="仿宋_GB2312" w:eastAsia="仿宋_GB2312"/>
          <w:sz w:val="32"/>
          <w:szCs w:val="32"/>
        </w:rPr>
        <w:t>重要讲话</w:t>
      </w:r>
      <w:r>
        <w:rPr>
          <w:rFonts w:hint="eastAsia" w:ascii="仿宋_GB2312" w:eastAsia="仿宋_GB2312"/>
          <w:sz w:val="32"/>
          <w:szCs w:val="32"/>
          <w:lang w:val="en-US" w:eastAsia="zh-CN"/>
        </w:rPr>
        <w:t>重要指示精神</w:t>
      </w:r>
      <w:r>
        <w:rPr>
          <w:rFonts w:hint="eastAsia" w:ascii="仿宋_GB2312" w:eastAsia="仿宋_GB2312"/>
          <w:sz w:val="32"/>
          <w:szCs w:val="32"/>
        </w:rPr>
        <w:t>，</w:t>
      </w:r>
      <w:r>
        <w:rPr>
          <w:rFonts w:hint="eastAsia" w:ascii="仿宋_GB2312" w:eastAsia="仿宋_GB2312"/>
          <w:sz w:val="32"/>
          <w:szCs w:val="32"/>
          <w:lang w:eastAsia="zh-CN"/>
        </w:rPr>
        <w:t>紧扣省委第十二次党代会精神、</w:t>
      </w:r>
      <w:r>
        <w:rPr>
          <w:rFonts w:hint="eastAsia" w:ascii="仿宋_GB2312" w:eastAsia="仿宋_GB2312"/>
          <w:sz w:val="32"/>
          <w:szCs w:val="32"/>
          <w:lang w:val="en-US" w:eastAsia="zh-CN"/>
        </w:rPr>
        <w:t>省委十二届二次全会暨省委经济工作会议精神，市委第五次党代会精神、市委五届二次全体会议暨市委经济工作会议精神，围绕</w:t>
      </w:r>
      <w:r>
        <w:rPr>
          <w:rFonts w:hint="eastAsia" w:ascii="仿宋_GB2312" w:eastAsia="仿宋_GB2312"/>
          <w:sz w:val="32"/>
          <w:szCs w:val="32"/>
        </w:rPr>
        <w:t>省委“</w:t>
      </w:r>
      <w:r>
        <w:rPr>
          <w:rFonts w:hint="eastAsia" w:ascii="仿宋_GB2312" w:eastAsia="仿宋_GB2312"/>
          <w:sz w:val="32"/>
          <w:szCs w:val="32"/>
          <w:lang w:val="en-US" w:eastAsia="zh-CN"/>
        </w:rPr>
        <w:t>全方位推动高质量发展</w:t>
      </w:r>
      <w:r>
        <w:rPr>
          <w:rFonts w:hint="eastAsia" w:ascii="仿宋_GB2312" w:eastAsia="仿宋_GB2312"/>
          <w:sz w:val="32"/>
          <w:szCs w:val="32"/>
        </w:rPr>
        <w:t>”</w:t>
      </w:r>
      <w:r>
        <w:rPr>
          <w:rFonts w:hint="eastAsia" w:ascii="仿宋_GB2312" w:eastAsia="仿宋_GB2312"/>
          <w:sz w:val="32"/>
          <w:szCs w:val="32"/>
          <w:lang w:eastAsia="zh-CN"/>
        </w:rPr>
        <w:t>的目标要求和</w:t>
      </w:r>
      <w:r>
        <w:rPr>
          <w:rFonts w:hint="eastAsia" w:ascii="仿宋_GB2312" w:eastAsia="仿宋_GB2312"/>
          <w:sz w:val="32"/>
          <w:szCs w:val="32"/>
        </w:rPr>
        <w:t>市委“</w:t>
      </w:r>
      <w:r>
        <w:rPr>
          <w:rFonts w:hint="eastAsia" w:ascii="仿宋_GB2312" w:eastAsia="仿宋_GB2312"/>
          <w:sz w:val="32"/>
          <w:szCs w:val="32"/>
          <w:lang w:val="en-US" w:eastAsia="zh-CN"/>
        </w:rPr>
        <w:t>1355</w:t>
      </w:r>
      <w:r>
        <w:rPr>
          <w:rFonts w:hint="eastAsia" w:ascii="仿宋_GB2312" w:eastAsia="仿宋_GB2312"/>
          <w:sz w:val="32"/>
          <w:szCs w:val="32"/>
        </w:rPr>
        <w:t>”</w:t>
      </w:r>
      <w:r>
        <w:rPr>
          <w:rFonts w:hint="eastAsia" w:ascii="仿宋_GB2312" w:eastAsia="仿宋_GB2312"/>
          <w:sz w:val="32"/>
          <w:szCs w:val="32"/>
          <w:lang w:val="en-US" w:eastAsia="zh-CN"/>
        </w:rPr>
        <w:t>战略部署</w:t>
      </w:r>
      <w:r>
        <w:rPr>
          <w:rFonts w:hint="eastAsia" w:ascii="仿宋_GB2312" w:eastAsia="仿宋_GB2312"/>
          <w:sz w:val="32"/>
          <w:szCs w:val="32"/>
        </w:rPr>
        <w:t>，紧密结合临汾实际</w:t>
      </w:r>
      <w:r>
        <w:rPr>
          <w:rFonts w:hint="eastAsia" w:ascii="仿宋_GB2312" w:eastAsia="仿宋_GB2312"/>
          <w:sz w:val="32"/>
          <w:szCs w:val="32"/>
          <w:lang w:eastAsia="zh-CN"/>
        </w:rPr>
        <w:t>和政协履职</w:t>
      </w:r>
      <w:r>
        <w:rPr>
          <w:rFonts w:hint="eastAsia" w:ascii="仿宋_GB2312" w:eastAsia="仿宋_GB2312"/>
          <w:sz w:val="32"/>
          <w:szCs w:val="32"/>
        </w:rPr>
        <w:t>实践，深入调查研究，</w:t>
      </w:r>
      <w:r>
        <w:rPr>
          <w:rFonts w:hint="eastAsia" w:ascii="仿宋_GB2312" w:eastAsia="仿宋_GB2312"/>
          <w:sz w:val="32"/>
          <w:szCs w:val="32"/>
          <w:lang w:val="en-US" w:eastAsia="zh-CN"/>
        </w:rPr>
        <w:t>积极建言献策，</w:t>
      </w:r>
      <w:r>
        <w:rPr>
          <w:rFonts w:hint="eastAsia" w:ascii="仿宋_GB2312" w:eastAsia="仿宋_GB2312"/>
          <w:sz w:val="32"/>
          <w:szCs w:val="32"/>
        </w:rPr>
        <w:t>真实反映</w:t>
      </w:r>
      <w:r>
        <w:rPr>
          <w:rFonts w:hint="eastAsia" w:ascii="仿宋_GB2312" w:eastAsia="仿宋_GB2312"/>
          <w:sz w:val="32"/>
          <w:szCs w:val="32"/>
          <w:lang w:val="en-US" w:eastAsia="zh-CN"/>
        </w:rPr>
        <w:t>各界</w:t>
      </w:r>
      <w:r>
        <w:rPr>
          <w:rFonts w:hint="eastAsia" w:ascii="仿宋_GB2312" w:eastAsia="仿宋_GB2312"/>
          <w:sz w:val="32"/>
          <w:szCs w:val="32"/>
        </w:rPr>
        <w:t>群众的愿望、呼声和要求，努力为大会提交有价值、有分量、言简意赅的议政建言材料。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.议政发言材料要开门见山，直奔主题，言之有物，言之有据，剖析问题深刻，对策建议有较强的针对性和可操作性。</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.各民主党派市委</w:t>
      </w:r>
      <w:r>
        <w:rPr>
          <w:rFonts w:hint="eastAsia" w:ascii="仿宋_GB2312" w:eastAsia="仿宋_GB2312"/>
          <w:sz w:val="32"/>
          <w:szCs w:val="32"/>
          <w:lang w:eastAsia="zh-CN"/>
        </w:rPr>
        <w:t>会</w:t>
      </w:r>
      <w:r>
        <w:rPr>
          <w:rFonts w:hint="eastAsia" w:ascii="仿宋_GB2312" w:eastAsia="仿宋_GB2312"/>
          <w:sz w:val="32"/>
          <w:szCs w:val="32"/>
        </w:rPr>
        <w:t>、市工商联、市政协各专委会要认真做好本单位和所属委员议政发言材料的组织征集和初审工作，至少组织报送</w:t>
      </w:r>
      <w:r>
        <w:rPr>
          <w:rFonts w:hint="default" w:ascii="仿宋_GB2312" w:eastAsia="仿宋_GB2312"/>
          <w:sz w:val="32"/>
          <w:szCs w:val="32"/>
          <w:lang w:val="en"/>
        </w:rPr>
        <w:t>5</w:t>
      </w:r>
      <w:r>
        <w:rPr>
          <w:rFonts w:hint="eastAsia" w:ascii="仿宋_GB2312" w:eastAsia="仿宋_GB2312"/>
          <w:sz w:val="32"/>
          <w:szCs w:val="32"/>
        </w:rPr>
        <w:t>篇高质量的议政发言材料。</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.议政发言材料字数控制在2000字以内，并在材料上注明作者的姓名、单位、职务（备注</w:t>
      </w:r>
      <w:r>
        <w:rPr>
          <w:rFonts w:hint="eastAsia" w:ascii="仿宋_GB2312" w:eastAsia="仿宋_GB2312"/>
          <w:sz w:val="32"/>
          <w:szCs w:val="32"/>
          <w:lang w:eastAsia="zh-CN"/>
        </w:rPr>
        <w:t>政协委员</w:t>
      </w:r>
      <w:r>
        <w:rPr>
          <w:rFonts w:hint="eastAsia" w:ascii="仿宋_GB2312" w:eastAsia="仿宋_GB2312"/>
          <w:sz w:val="32"/>
          <w:szCs w:val="32"/>
        </w:rPr>
        <w:t>或</w:t>
      </w:r>
      <w:r>
        <w:rPr>
          <w:rFonts w:hint="eastAsia" w:ascii="仿宋_GB2312" w:eastAsia="仿宋_GB2312"/>
          <w:sz w:val="32"/>
          <w:szCs w:val="32"/>
          <w:lang w:eastAsia="zh-CN"/>
        </w:rPr>
        <w:t>党派成员</w:t>
      </w:r>
      <w:r>
        <w:rPr>
          <w:rFonts w:hint="eastAsia" w:ascii="仿宋_GB2312" w:eastAsia="仿宋_GB2312"/>
          <w:sz w:val="32"/>
          <w:szCs w:val="32"/>
        </w:rPr>
        <w:t>）及联系电话。</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.征集议政发言材料截止日期为：20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default" w:ascii="仿宋_GB2312" w:eastAsia="仿宋_GB2312"/>
          <w:sz w:val="32"/>
          <w:szCs w:val="32"/>
          <w:lang w:val="en"/>
        </w:rPr>
        <w:t>2</w:t>
      </w:r>
      <w:r>
        <w:rPr>
          <w:rFonts w:hint="eastAsia" w:ascii="仿宋_GB2312" w:eastAsia="仿宋_GB2312"/>
          <w:sz w:val="32"/>
          <w:szCs w:val="32"/>
        </w:rPr>
        <w:t>月</w:t>
      </w:r>
      <w:r>
        <w:rPr>
          <w:rFonts w:hint="default" w:ascii="仿宋_GB2312" w:eastAsia="仿宋_GB2312"/>
          <w:sz w:val="32"/>
          <w:szCs w:val="32"/>
          <w:lang w:val="en"/>
        </w:rPr>
        <w:t>8</w:t>
      </w:r>
      <w:r>
        <w:rPr>
          <w:rFonts w:hint="eastAsia" w:ascii="仿宋_GB2312" w:eastAsia="仿宋_GB2312"/>
          <w:sz w:val="32"/>
          <w:szCs w:val="32"/>
        </w:rPr>
        <w:t>日。以电子文本报送市政协调研室综合科。</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联系人：张 </w:t>
      </w:r>
      <w:r>
        <w:rPr>
          <w:rFonts w:hint="default" w:ascii="仿宋_GB2312" w:eastAsia="仿宋_GB2312"/>
          <w:sz w:val="32"/>
          <w:szCs w:val="32"/>
          <w:lang w:val="en"/>
        </w:rPr>
        <w:t xml:space="preserve"> </w:t>
      </w:r>
      <w:r>
        <w:rPr>
          <w:rFonts w:hint="eastAsia" w:ascii="仿宋_GB2312" w:eastAsia="仿宋_GB2312"/>
          <w:sz w:val="32"/>
          <w:szCs w:val="32"/>
        </w:rPr>
        <w:t>强（13835768245）</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lang w:val="en-US" w:eastAsia="zh-CN"/>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崔姝尧（18635710289）</w:t>
      </w:r>
    </w:p>
    <w:p>
      <w:pPr>
        <w:keepNext w:val="0"/>
        <w:keepLines w:val="0"/>
        <w:pageBreakBefore w:val="0"/>
        <w:widowControl w:val="0"/>
        <w:kinsoku/>
        <w:wordWrap/>
        <w:overflowPunct/>
        <w:topLinePunct w:val="0"/>
        <w:autoSpaceDE/>
        <w:autoSpaceDN/>
        <w:bidi w:val="0"/>
        <w:adjustRightInd/>
        <w:snapToGrid/>
        <w:spacing w:line="460" w:lineRule="exact"/>
        <w:ind w:left="0" w:leftChars="0" w:firstLine="1920" w:firstLineChars="600"/>
        <w:textAlignment w:val="auto"/>
        <w:rPr>
          <w:rFonts w:hint="eastAsia" w:ascii="仿宋_GB2312" w:eastAsia="仿宋_GB2312"/>
          <w:sz w:val="32"/>
          <w:szCs w:val="32"/>
        </w:rPr>
      </w:pPr>
      <w:r>
        <w:rPr>
          <w:rFonts w:hint="eastAsia" w:ascii="仿宋_GB2312" w:eastAsia="仿宋_GB2312"/>
          <w:sz w:val="32"/>
          <w:szCs w:val="32"/>
          <w:lang w:eastAsia="zh-CN"/>
        </w:rPr>
        <w:t>李迪航</w:t>
      </w:r>
      <w:r>
        <w:rPr>
          <w:rFonts w:hint="eastAsia" w:ascii="仿宋_GB2312" w:eastAsia="仿宋_GB2312"/>
          <w:sz w:val="32"/>
          <w:szCs w:val="32"/>
        </w:rPr>
        <w:t>（</w:t>
      </w:r>
      <w:r>
        <w:rPr>
          <w:rFonts w:hint="eastAsia" w:ascii="仿宋_GB2312" w:eastAsia="仿宋_GB2312"/>
          <w:sz w:val="32"/>
          <w:szCs w:val="32"/>
          <w:lang w:val="en-US" w:eastAsia="zh-CN"/>
        </w:rPr>
        <w:t>18435837768</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default" w:asci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r>
        <w:rPr>
          <w:rFonts w:hint="eastAsia" w:ascii="仿宋_GB2312" w:eastAsia="仿宋_GB2312"/>
          <w:sz w:val="32"/>
          <w:szCs w:val="32"/>
        </w:rPr>
        <w:t>联系电话：0357-2689636</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r>
        <w:rPr>
          <w:rFonts w:hint="eastAsia" w:ascii="仿宋_GB2312" w:eastAsia="仿宋_GB2312"/>
          <w:sz w:val="32"/>
          <w:szCs w:val="32"/>
        </w:rPr>
        <w:t>邮箱：</w:t>
      </w:r>
      <w:r>
        <w:rPr>
          <w:rFonts w:ascii="仿宋_GB2312" w:eastAsia="仿宋_GB2312"/>
          <w:b w:val="0"/>
          <w:bCs w:val="0"/>
          <w:color w:val="000000" w:themeColor="text1"/>
          <w:sz w:val="32"/>
          <w:szCs w:val="32"/>
          <w:u w:val="none"/>
          <w14:textFill>
            <w14:solidFill>
              <w14:schemeClr w14:val="tx1"/>
            </w14:solidFill>
          </w14:textFill>
        </w:rPr>
        <w:fldChar w:fldCharType="begin"/>
      </w:r>
      <w:r>
        <w:rPr>
          <w:rFonts w:ascii="仿宋_GB2312" w:eastAsia="仿宋_GB2312"/>
          <w:b w:val="0"/>
          <w:bCs w:val="0"/>
          <w:color w:val="000000" w:themeColor="text1"/>
          <w:sz w:val="32"/>
          <w:szCs w:val="32"/>
          <w:u w:val="none"/>
          <w14:textFill>
            <w14:solidFill>
              <w14:schemeClr w14:val="tx1"/>
            </w14:solidFill>
          </w14:textFill>
        </w:rPr>
        <w:instrText xml:space="preserve"> HYPERLINK "mailto:lfyzfy@163.com" </w:instrText>
      </w:r>
      <w:r>
        <w:rPr>
          <w:rFonts w:ascii="仿宋_GB2312" w:eastAsia="仿宋_GB2312"/>
          <w:b w:val="0"/>
          <w:bCs w:val="0"/>
          <w:color w:val="000000" w:themeColor="text1"/>
          <w:sz w:val="32"/>
          <w:szCs w:val="32"/>
          <w:u w:val="none"/>
          <w14:textFill>
            <w14:solidFill>
              <w14:schemeClr w14:val="tx1"/>
            </w14:solidFill>
          </w14:textFill>
        </w:rPr>
        <w:fldChar w:fldCharType="separate"/>
      </w:r>
      <w:r>
        <w:rPr>
          <w:rStyle w:val="7"/>
          <w:rFonts w:hint="eastAsia" w:ascii="仿宋_GB2312" w:eastAsia="仿宋_GB2312"/>
          <w:b w:val="0"/>
          <w:bCs w:val="0"/>
          <w:color w:val="000000" w:themeColor="text1"/>
          <w:sz w:val="32"/>
          <w:szCs w:val="32"/>
          <w:u w:val="none"/>
          <w14:textFill>
            <w14:solidFill>
              <w14:schemeClr w14:val="tx1"/>
            </w14:solidFill>
          </w14:textFill>
        </w:rPr>
        <w:t>lfyzfy@163.com</w:t>
      </w:r>
      <w:r>
        <w:rPr>
          <w:rFonts w:ascii="仿宋_GB2312" w:eastAsia="仿宋_GB2312"/>
          <w:b w:val="0"/>
          <w:bCs w:val="0"/>
          <w:color w:val="000000" w:themeColor="text1"/>
          <w:sz w:val="32"/>
          <w:szCs w:val="32"/>
          <w:u w:val="none"/>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r>
        <w:rPr>
          <w:rFonts w:hint="eastAsia" w:ascii="仿宋_GB2312" w:eastAsia="仿宋_GB2312"/>
          <w:sz w:val="32"/>
          <w:szCs w:val="32"/>
        </w:rPr>
        <w:t>附：议政发言材料参考选题</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lang w:eastAsia="zh-CN"/>
        </w:rPr>
      </w:pPr>
      <w:r>
        <w:rPr>
          <w:rFonts w:hint="eastAsia" w:ascii="仿宋_GB2312" w:eastAsia="仿宋_GB2312"/>
          <w:sz w:val="32"/>
          <w:szCs w:val="32"/>
        </w:rPr>
        <w:t xml:space="preserve">                          政协临汾市</w:t>
      </w:r>
      <w:r>
        <w:rPr>
          <w:rFonts w:hint="eastAsia" w:ascii="仿宋_GB2312" w:eastAsia="仿宋_GB2312"/>
          <w:sz w:val="32"/>
          <w:szCs w:val="32"/>
          <w:lang w:eastAsia="zh-CN"/>
        </w:rPr>
        <w:t>委员会办公室</w:t>
      </w:r>
    </w:p>
    <w:p>
      <w:pPr>
        <w:keepNext w:val="0"/>
        <w:keepLines w:val="0"/>
        <w:pageBreakBefore w:val="0"/>
        <w:widowControl w:val="0"/>
        <w:kinsoku/>
        <w:wordWrap/>
        <w:overflowPunct/>
        <w:topLinePunct w:val="0"/>
        <w:autoSpaceDE/>
        <w:autoSpaceDN/>
        <w:bidi w:val="0"/>
        <w:adjustRightInd/>
        <w:snapToGrid/>
        <w:spacing w:line="460" w:lineRule="exact"/>
        <w:ind w:left="0" w:leftChars="0"/>
        <w:textAlignment w:val="auto"/>
        <w:rPr>
          <w:rFonts w:hint="eastAsia" w:ascii="仿宋_GB2312" w:eastAsia="仿宋_GB2312"/>
          <w:sz w:val="32"/>
          <w:szCs w:val="32"/>
        </w:rPr>
      </w:pPr>
      <w:r>
        <w:rPr>
          <w:rFonts w:hint="eastAsia" w:ascii="仿宋_GB2312" w:eastAsia="仿宋_GB2312"/>
          <w:sz w:val="32"/>
          <w:szCs w:val="32"/>
        </w:rPr>
        <w:t xml:space="preserve">                               20</w:t>
      </w:r>
      <w:r>
        <w:rPr>
          <w:rFonts w:hint="eastAsia" w:ascii="仿宋_GB2312" w:eastAsia="仿宋_GB2312"/>
          <w:sz w:val="32"/>
          <w:szCs w:val="32"/>
          <w:lang w:val="en-US" w:eastAsia="zh-CN"/>
        </w:rPr>
        <w:t>22</w:t>
      </w:r>
      <w:r>
        <w:rPr>
          <w:rFonts w:hint="eastAsia" w:ascii="仿宋_GB2312" w:eastAsia="仿宋_GB2312"/>
          <w:sz w:val="32"/>
          <w:szCs w:val="32"/>
        </w:rPr>
        <w:t>年1月</w:t>
      </w:r>
      <w:r>
        <w:rPr>
          <w:rFonts w:hint="default" w:ascii="仿宋_GB2312" w:eastAsia="仿宋_GB2312"/>
          <w:sz w:val="32"/>
          <w:szCs w:val="32"/>
          <w:lang w:val="en"/>
        </w:rPr>
        <w:t>30</w:t>
      </w:r>
      <w:r>
        <w:rPr>
          <w:rFonts w:hint="eastAsia" w:ascii="仿宋_GB2312"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宋体" w:eastAsia="仿宋_GB2312"/>
          <w:b/>
          <w:sz w:val="44"/>
          <w:szCs w:val="44"/>
        </w:rPr>
      </w:pPr>
    </w:p>
    <w:p>
      <w:pPr>
        <w:jc w:val="center"/>
        <w:rPr>
          <w:rFonts w:hint="eastAsia" w:ascii="仿宋_GB2312" w:hAnsi="宋体" w:eastAsia="仿宋_GB2312"/>
          <w:b/>
          <w:sz w:val="44"/>
          <w:szCs w:val="44"/>
        </w:rPr>
      </w:pPr>
    </w:p>
    <w:p>
      <w:pPr>
        <w:jc w:val="center"/>
        <w:rPr>
          <w:rFonts w:hint="eastAsia" w:ascii="仿宋_GB2312" w:hAnsi="宋体" w:eastAsia="仿宋_GB2312"/>
          <w:b/>
          <w:sz w:val="44"/>
          <w:szCs w:val="44"/>
        </w:rPr>
      </w:pPr>
      <w:r>
        <w:rPr>
          <w:rFonts w:hint="eastAsia" w:ascii="仿宋_GB2312" w:hAnsi="宋体" w:eastAsia="仿宋_GB2312"/>
          <w:b/>
          <w:sz w:val="44"/>
          <w:szCs w:val="44"/>
        </w:rPr>
        <w:t>议政发言材料参考选题</w:t>
      </w:r>
    </w:p>
    <w:p>
      <w:pPr>
        <w:jc w:val="center"/>
        <w:rPr>
          <w:rFonts w:hint="eastAsia" w:ascii="仿宋_GB2312" w:hAnsi="宋体" w:eastAsia="仿宋_GB2312"/>
          <w:b/>
          <w:sz w:val="36"/>
          <w:szCs w:val="36"/>
        </w:rPr>
      </w:pPr>
    </w:p>
    <w:p>
      <w:pPr>
        <w:ind w:firstLine="640" w:firstLineChars="200"/>
        <w:rPr>
          <w:rFonts w:hint="eastAsia" w:ascii="仿宋_GB2312" w:eastAsia="仿宋_GB2312"/>
          <w:sz w:val="32"/>
          <w:szCs w:val="32"/>
        </w:rPr>
      </w:pPr>
      <w:r>
        <w:rPr>
          <w:rFonts w:hint="eastAsia" w:ascii="仿宋_GB2312" w:eastAsia="仿宋_GB2312"/>
          <w:sz w:val="32"/>
          <w:szCs w:val="32"/>
        </w:rPr>
        <w:t>1.围绕统筹疫情防控和经济社会发展，</w:t>
      </w:r>
      <w:r>
        <w:rPr>
          <w:rFonts w:hint="eastAsia" w:ascii="仿宋_GB2312" w:eastAsia="仿宋_GB2312"/>
          <w:sz w:val="32"/>
          <w:szCs w:val="32"/>
          <w:lang w:val="en-US" w:eastAsia="zh-CN"/>
        </w:rPr>
        <w:t>继续</w:t>
      </w:r>
      <w:r>
        <w:rPr>
          <w:rFonts w:hint="eastAsia" w:ascii="仿宋_GB2312" w:eastAsia="仿宋_GB2312"/>
          <w:sz w:val="32"/>
          <w:szCs w:val="32"/>
        </w:rPr>
        <w:t>做好“六稳”工作，落实“六保”任务，</w:t>
      </w:r>
      <w:r>
        <w:rPr>
          <w:rFonts w:hint="eastAsia" w:ascii="仿宋_GB2312" w:eastAsia="仿宋_GB2312"/>
          <w:sz w:val="32"/>
          <w:szCs w:val="32"/>
          <w:lang w:val="en-US" w:eastAsia="zh-CN"/>
        </w:rPr>
        <w:t>坚持稳中求进工作总基调</w:t>
      </w:r>
      <w:r>
        <w:rPr>
          <w:rFonts w:hint="eastAsia" w:ascii="仿宋_GB2312" w:eastAsia="仿宋_GB2312"/>
          <w:sz w:val="32"/>
          <w:szCs w:val="32"/>
        </w:rPr>
        <w:t>建言献策；</w:t>
      </w:r>
    </w:p>
    <w:p>
      <w:pPr>
        <w:ind w:firstLine="640" w:firstLineChars="200"/>
        <w:rPr>
          <w:rFonts w:hint="eastAsia" w:ascii="仿宋_GB2312" w:eastAsia="仿宋_GB2312"/>
          <w:sz w:val="32"/>
          <w:szCs w:val="32"/>
        </w:rPr>
      </w:pPr>
      <w:r>
        <w:rPr>
          <w:rFonts w:hint="eastAsia" w:ascii="仿宋_GB2312" w:eastAsia="仿宋_GB2312"/>
          <w:sz w:val="32"/>
          <w:szCs w:val="32"/>
        </w:rPr>
        <w:t>2.围绕</w:t>
      </w:r>
      <w:r>
        <w:rPr>
          <w:rFonts w:hint="eastAsia" w:ascii="仿宋_GB2312" w:eastAsia="仿宋_GB2312"/>
          <w:sz w:val="32"/>
          <w:szCs w:val="32"/>
          <w:lang w:val="en-US" w:eastAsia="zh-CN"/>
        </w:rPr>
        <w:t>贯彻</w:t>
      </w:r>
      <w:r>
        <w:rPr>
          <w:rFonts w:hint="eastAsia" w:ascii="仿宋_GB2312" w:eastAsia="仿宋_GB2312"/>
          <w:sz w:val="32"/>
          <w:szCs w:val="32"/>
        </w:rPr>
        <w:t>落实省委</w:t>
      </w:r>
      <w:r>
        <w:rPr>
          <w:rFonts w:hint="eastAsia" w:ascii="仿宋_GB2312" w:eastAsia="仿宋_GB2312"/>
          <w:sz w:val="32"/>
          <w:szCs w:val="32"/>
          <w:lang w:eastAsia="zh-CN"/>
        </w:rPr>
        <w:t>“</w:t>
      </w:r>
      <w:r>
        <w:rPr>
          <w:rFonts w:hint="eastAsia" w:ascii="仿宋_GB2312" w:eastAsia="仿宋_GB2312"/>
          <w:sz w:val="32"/>
          <w:szCs w:val="32"/>
          <w:lang w:val="en-US" w:eastAsia="zh-CN"/>
        </w:rPr>
        <w:t>全方位推动高质量发展</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要求</w:t>
      </w:r>
      <w:r>
        <w:rPr>
          <w:rFonts w:hint="eastAsia" w:ascii="仿宋_GB2312" w:eastAsia="仿宋_GB2312"/>
          <w:sz w:val="32"/>
          <w:szCs w:val="32"/>
          <w:lang w:eastAsia="zh-CN"/>
        </w:rPr>
        <w:t>、</w:t>
      </w:r>
      <w:r>
        <w:rPr>
          <w:rFonts w:hint="eastAsia" w:ascii="仿宋_GB2312" w:eastAsia="仿宋_GB2312"/>
          <w:sz w:val="32"/>
          <w:szCs w:val="32"/>
        </w:rPr>
        <w:t>市委“</w:t>
      </w:r>
      <w:r>
        <w:rPr>
          <w:rFonts w:hint="eastAsia" w:ascii="仿宋_GB2312" w:eastAsia="仿宋_GB2312"/>
          <w:sz w:val="32"/>
          <w:szCs w:val="32"/>
          <w:lang w:val="en-US" w:eastAsia="zh-CN"/>
        </w:rPr>
        <w:t>1355</w:t>
      </w:r>
      <w:r>
        <w:rPr>
          <w:rFonts w:hint="eastAsia" w:ascii="仿宋_GB2312" w:eastAsia="仿宋_GB2312"/>
          <w:sz w:val="32"/>
          <w:szCs w:val="32"/>
        </w:rPr>
        <w:t>”</w:t>
      </w:r>
      <w:r>
        <w:rPr>
          <w:rFonts w:hint="eastAsia" w:ascii="仿宋_GB2312" w:eastAsia="仿宋_GB2312"/>
          <w:sz w:val="32"/>
          <w:szCs w:val="32"/>
          <w:lang w:val="en-US" w:eastAsia="zh-CN"/>
        </w:rPr>
        <w:t>战略部署</w:t>
      </w:r>
      <w:r>
        <w:rPr>
          <w:rFonts w:hint="eastAsia" w:ascii="仿宋_GB2312" w:eastAsia="仿宋_GB2312"/>
          <w:sz w:val="32"/>
          <w:szCs w:val="32"/>
        </w:rPr>
        <w:t>，</w:t>
      </w:r>
      <w:r>
        <w:rPr>
          <w:rFonts w:hint="eastAsia" w:ascii="仿宋_GB2312" w:eastAsia="仿宋_GB2312"/>
          <w:sz w:val="32"/>
          <w:szCs w:val="32"/>
          <w:lang w:val="en-US" w:eastAsia="zh-CN"/>
        </w:rPr>
        <w:t>推动临汾在全方位推动高质量发展中走在全省第一方阵</w:t>
      </w:r>
      <w:r>
        <w:rPr>
          <w:rFonts w:hint="eastAsia" w:ascii="仿宋_GB2312" w:eastAsia="仿宋_GB2312"/>
          <w:sz w:val="32"/>
          <w:szCs w:val="32"/>
        </w:rPr>
        <w:t>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3.围绕推进“一群两区三圈”建设，就建设黄河流域绿色崛起转型样板城市、打造晋陕豫黄河金三角区域中心城市建言献策；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4.围绕全面落实“碳达峰碳中和”临汾行动，扎实做好能耗双控工作，强链条、锻长板，对标“双线”，蹚出推动“双碳”传统产业高端低碳发展新路建言献策；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5.围绕聚焦“六新”领域，坚持创新引领，推动战略性新兴产业建新链、补短板，加快“两化”、成链成势崛起建言献策；</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6.围绕大力发展生产性服务业，提升发展生活性服务业，加快建设现代服务业集聚区，快速提升服务业占经济总量的比重建言献策；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7</w:t>
      </w:r>
      <w:r>
        <w:rPr>
          <w:rFonts w:hint="eastAsia" w:ascii="仿宋_GB2312" w:eastAsia="仿宋_GB2312"/>
          <w:sz w:val="32"/>
          <w:szCs w:val="32"/>
        </w:rPr>
        <w:t>.围绕</w:t>
      </w:r>
      <w:r>
        <w:rPr>
          <w:rFonts w:hint="eastAsia" w:ascii="仿宋_GB2312" w:eastAsia="仿宋_GB2312"/>
          <w:sz w:val="32"/>
          <w:szCs w:val="32"/>
          <w:lang w:val="en-US" w:eastAsia="zh-CN"/>
        </w:rPr>
        <w:t>着力推进创新发展，以创新牵引质量变革、效率变革、动力变革，破解发展难题，激发临汾发展的动力和活力</w:t>
      </w:r>
      <w:r>
        <w:rPr>
          <w:rFonts w:hint="eastAsia" w:ascii="仿宋_GB2312" w:eastAsia="仿宋_GB2312"/>
          <w:sz w:val="32"/>
          <w:szCs w:val="32"/>
        </w:rPr>
        <w:t>建言献策；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8</w:t>
      </w:r>
      <w:r>
        <w:rPr>
          <w:rFonts w:hint="eastAsia" w:ascii="仿宋_GB2312" w:eastAsia="仿宋_GB2312"/>
          <w:sz w:val="32"/>
          <w:szCs w:val="32"/>
        </w:rPr>
        <w:t>.围绕</w:t>
      </w:r>
      <w:r>
        <w:rPr>
          <w:rFonts w:hint="eastAsia" w:ascii="仿宋_GB2312" w:eastAsia="仿宋_GB2312"/>
          <w:sz w:val="32"/>
          <w:szCs w:val="32"/>
          <w:lang w:eastAsia="zh-CN"/>
        </w:rPr>
        <w:t>大力加强开发区建设，</w:t>
      </w:r>
      <w:r>
        <w:rPr>
          <w:rFonts w:hint="eastAsia" w:ascii="仿宋_GB2312" w:eastAsia="仿宋_GB2312"/>
          <w:sz w:val="32"/>
          <w:szCs w:val="32"/>
          <w:lang w:val="en-US" w:eastAsia="zh-CN"/>
        </w:rPr>
        <w:t>落实“三个一批”具体要求，就进一步优化园区功能，强化园区经济产出，提升项目审批服务水平，推动各类开发区提档升级</w:t>
      </w:r>
      <w:r>
        <w:rPr>
          <w:rFonts w:hint="eastAsia" w:ascii="仿宋_GB2312" w:eastAsia="仿宋_GB2312"/>
          <w:sz w:val="32"/>
          <w:szCs w:val="32"/>
        </w:rPr>
        <w:t>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w:t>
      </w:r>
      <w:r>
        <w:rPr>
          <w:rFonts w:hint="eastAsia" w:ascii="仿宋_GB2312" w:eastAsia="仿宋_GB2312"/>
          <w:sz w:val="32"/>
          <w:szCs w:val="32"/>
        </w:rPr>
        <w:t>.</w:t>
      </w:r>
      <w:r>
        <w:rPr>
          <w:rFonts w:hint="eastAsia" w:ascii="仿宋_GB2312" w:eastAsia="仿宋_GB2312"/>
          <w:sz w:val="32"/>
          <w:szCs w:val="32"/>
          <w:lang w:val="en-US" w:eastAsia="zh-CN"/>
        </w:rPr>
        <w:t>围绕抓好市场主体培育，就聚焦保存量、扩增量、提质量，加强对市场主体分类指导，促进企业“小升规”，扶植发展专精特新“小巨人”、“隐形冠军”、“单项冠军”企业建言献策；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10</w:t>
      </w:r>
      <w:r>
        <w:rPr>
          <w:rFonts w:hint="eastAsia" w:ascii="仿宋_GB2312" w:eastAsia="仿宋_GB2312"/>
          <w:sz w:val="32"/>
          <w:szCs w:val="32"/>
        </w:rPr>
        <w:t>.围绕</w:t>
      </w:r>
      <w:r>
        <w:rPr>
          <w:rFonts w:hint="eastAsia" w:ascii="仿宋_GB2312" w:eastAsia="仿宋_GB2312"/>
          <w:sz w:val="32"/>
          <w:szCs w:val="32"/>
          <w:lang w:val="en-US" w:eastAsia="zh-CN"/>
        </w:rPr>
        <w:t>全面实施乡村振兴战略，持续推动脱贫地区发展和群众生活改善，确保巩固拓展脱贫攻坚成果同乡村振兴有效衔接</w:t>
      </w:r>
      <w:r>
        <w:rPr>
          <w:rFonts w:hint="eastAsia" w:ascii="仿宋_GB2312" w:eastAsia="仿宋_GB2312"/>
          <w:sz w:val="32"/>
          <w:szCs w:val="32"/>
        </w:rPr>
        <w:t>建言献策；</w:t>
      </w:r>
    </w:p>
    <w:p>
      <w:pPr>
        <w:numPr>
          <w:ilvl w:val="0"/>
          <w:numId w:val="0"/>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11.围绕抓好农业转型，保粮稳供工作，大力推动农业产业化、专业化、现代化，实现农业优质高效发展建言献策；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12.围绕推动特优农业产业发展，强化农业项目建设，努力把资源优势转化为产业优势、经济优势、竞争优势建言献策；</w:t>
      </w:r>
    </w:p>
    <w:p>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围绕</w:t>
      </w:r>
      <w:r>
        <w:rPr>
          <w:rFonts w:hint="eastAsia" w:ascii="仿宋_GB2312" w:eastAsia="仿宋_GB2312"/>
          <w:sz w:val="32"/>
          <w:szCs w:val="32"/>
          <w:lang w:val="en-US" w:eastAsia="zh-CN"/>
        </w:rPr>
        <w:t>持续提高生态文明建设水平，扎实推进“两山六河一流域 ”生态修复治理，打造“三大纵向生态屏障”，建设美丽临汾，推动减污降碳协同增效，加快经济社会发展全面绿色转型</w:t>
      </w:r>
      <w:r>
        <w:rPr>
          <w:rFonts w:hint="eastAsia" w:ascii="仿宋_GB2312" w:eastAsia="仿宋_GB2312"/>
          <w:sz w:val="32"/>
          <w:szCs w:val="32"/>
        </w:rPr>
        <w:t>建言献策；</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14.</w:t>
      </w:r>
      <w:r>
        <w:rPr>
          <w:rFonts w:hint="eastAsia" w:ascii="仿宋_GB2312" w:eastAsia="仿宋_GB2312"/>
          <w:sz w:val="32"/>
          <w:szCs w:val="32"/>
        </w:rPr>
        <w:t>围绕全面加快城市建设步伐</w:t>
      </w:r>
      <w:r>
        <w:rPr>
          <w:rFonts w:hint="eastAsia" w:ascii="仿宋_GB2312" w:eastAsia="仿宋_GB2312"/>
          <w:sz w:val="32"/>
          <w:szCs w:val="32"/>
          <w:lang w:eastAsia="zh-CN"/>
        </w:rPr>
        <w:t>，就</w:t>
      </w:r>
      <w:r>
        <w:rPr>
          <w:rFonts w:hint="eastAsia" w:ascii="仿宋_GB2312" w:eastAsia="仿宋_GB2312"/>
          <w:sz w:val="32"/>
          <w:szCs w:val="32"/>
          <w:lang w:val="en-US" w:eastAsia="zh-CN"/>
        </w:rPr>
        <w:t>拉大城市框架，加强基础设施建设，加强文化引领，高品质推进城市更新，打造宜居宜业宜游的现代化特色城市</w:t>
      </w:r>
      <w:r>
        <w:rPr>
          <w:rFonts w:hint="eastAsia" w:ascii="仿宋_GB2312" w:eastAsia="仿宋_GB2312"/>
          <w:sz w:val="32"/>
          <w:szCs w:val="32"/>
        </w:rPr>
        <w:t>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15.围绕推动现代物流降本提质，健全物流体系，加快建设临汾国家物流枢纽建言献策；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16.围绕推进文化事业产业创新发展，构建现代公共文化服务体系，抓好文化遗产保护传承，促进文旅产业深度融合，大力推进重点文旅项目建设，高标准推进品牌创建建言献策；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17.围绕着力推进改革开放，推动“放管服”、国资国企、农业农村、民营经济发展等重点领域深化改革建言献策；</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18.围绕建设全省教育强市，优化义务教育学校布局，提升教育教学质量，推动职业院校“双高”建设，全面抓好“双减”工作建言献策；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19.围绕加强基本养老服务制度建设，在积极发展大健康产业基础上，构建居家社区机构相协调，医养康养相结合的养老服务体系建言献策；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20.围绕抓好常态化疫情防控，加强公共卫生体系建设，提升应对突发公共卫生事件的能力建言献策；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21.围绕加强思想政治工作，巩固马克思主义在意识形态领域的指导地位，牢牢把握意识形态主动权建言献策；</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22.</w:t>
      </w:r>
      <w:r>
        <w:rPr>
          <w:rFonts w:hint="eastAsia" w:ascii="仿宋_GB2312" w:eastAsia="仿宋_GB2312"/>
          <w:sz w:val="32"/>
          <w:szCs w:val="32"/>
        </w:rPr>
        <w:t>围绕统筹发展和安全的要求，</w:t>
      </w:r>
      <w:r>
        <w:rPr>
          <w:rFonts w:hint="eastAsia" w:ascii="仿宋_GB2312" w:eastAsia="仿宋_GB2312"/>
          <w:sz w:val="32"/>
          <w:szCs w:val="32"/>
          <w:lang w:val="en-US" w:eastAsia="zh-CN"/>
        </w:rPr>
        <w:t>严防“黑天鹅”、“灰犀牛”事件，</w:t>
      </w:r>
      <w:r>
        <w:rPr>
          <w:rFonts w:hint="eastAsia" w:ascii="仿宋_GB2312" w:eastAsia="仿宋_GB2312"/>
          <w:sz w:val="32"/>
          <w:szCs w:val="32"/>
        </w:rPr>
        <w:t>有效防范化解各类风险挑战，</w:t>
      </w:r>
      <w:r>
        <w:rPr>
          <w:rFonts w:hint="eastAsia" w:ascii="仿宋_GB2312" w:eastAsia="仿宋_GB2312"/>
          <w:sz w:val="32"/>
          <w:szCs w:val="32"/>
          <w:lang w:val="en-US" w:eastAsia="zh-CN"/>
        </w:rPr>
        <w:t>打造共建共治共</w:t>
      </w:r>
      <w:r>
        <w:rPr>
          <w:rFonts w:hint="eastAsia" w:ascii="仿宋_GB2312" w:eastAsia="仿宋_GB2312"/>
          <w:w w:val="98"/>
          <w:sz w:val="32"/>
          <w:szCs w:val="32"/>
          <w:lang w:val="en-US" w:eastAsia="zh-CN"/>
        </w:rPr>
        <w:t>享的社会治理格局，</w:t>
      </w:r>
      <w:r>
        <w:rPr>
          <w:rFonts w:hint="eastAsia" w:ascii="仿宋_GB2312" w:eastAsia="仿宋_GB2312"/>
          <w:w w:val="98"/>
          <w:sz w:val="32"/>
          <w:szCs w:val="32"/>
        </w:rPr>
        <w:t>着力建设更高水平的平安临汾建言献策；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23.围绕进一步贯彻落实市委政协工作会议精神，打造政协“委员阵地”、“委员平台”、“重要渠道”，充分发挥专门协商机构作用建言献策；</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24.围绕提高政协委员素质能力，强化委员责任担当，打造“懂政协、会协商、善议政、守纪律、讲规矩、重品行”的委员队伍建言献策；</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25.围绕贯彻落实政协系统党的建设工作会议精神，</w:t>
      </w:r>
      <w:r>
        <w:rPr>
          <w:rFonts w:hint="default" w:ascii="仿宋_GB2312" w:eastAsia="仿宋_GB2312"/>
          <w:sz w:val="32"/>
          <w:szCs w:val="32"/>
          <w:lang w:eastAsia="zh-CN"/>
        </w:rPr>
        <w:t>推动政协</w:t>
      </w:r>
      <w:r>
        <w:rPr>
          <w:rFonts w:hint="eastAsia" w:ascii="仿宋_GB2312" w:eastAsia="仿宋_GB2312"/>
          <w:sz w:val="32"/>
          <w:szCs w:val="32"/>
          <w:lang w:eastAsia="zh-CN"/>
        </w:rPr>
        <w:t>系统</w:t>
      </w:r>
      <w:r>
        <w:rPr>
          <w:rFonts w:hint="eastAsia" w:ascii="仿宋_GB2312" w:eastAsia="仿宋_GB2312"/>
          <w:sz w:val="32"/>
          <w:szCs w:val="32"/>
          <w:lang w:val="en-US" w:eastAsia="zh-CN"/>
        </w:rPr>
        <w:t>党建</w:t>
      </w:r>
      <w:r>
        <w:rPr>
          <w:rFonts w:hint="default" w:ascii="仿宋_GB2312" w:eastAsia="仿宋_GB2312"/>
          <w:sz w:val="32"/>
          <w:szCs w:val="32"/>
          <w:lang w:eastAsia="zh-CN"/>
        </w:rPr>
        <w:t>工作上台阶建言献策</w:t>
      </w:r>
      <w:r>
        <w:rPr>
          <w:rFonts w:hint="eastAsia" w:ascii="仿宋_GB2312" w:eastAsia="仿宋_GB2312"/>
          <w:sz w:val="32"/>
          <w:szCs w:val="32"/>
          <w:lang w:eastAsia="zh-CN"/>
        </w:rPr>
        <w:t>。</w:t>
      </w:r>
    </w:p>
    <w:p>
      <w:pPr>
        <w:ind w:firstLine="640" w:firstLineChars="200"/>
        <w:rPr>
          <w:rFonts w:hint="default" w:ascii="仿宋_GB2312" w:eastAsia="仿宋_GB2312"/>
          <w:sz w:val="32"/>
          <w:szCs w:val="32"/>
          <w:lang w:val="en-US" w:eastAsia="zh-C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3</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87146"/>
    <w:rsid w:val="05AA3AA1"/>
    <w:rsid w:val="07EB2101"/>
    <w:rsid w:val="122E5900"/>
    <w:rsid w:val="17E904C9"/>
    <w:rsid w:val="1CA90D8B"/>
    <w:rsid w:val="1E0A199B"/>
    <w:rsid w:val="2F7FEB17"/>
    <w:rsid w:val="39070D47"/>
    <w:rsid w:val="3A887146"/>
    <w:rsid w:val="3BDF09AF"/>
    <w:rsid w:val="3C7F3A3C"/>
    <w:rsid w:val="45DD580E"/>
    <w:rsid w:val="47FCF0AA"/>
    <w:rsid w:val="4FBE92AB"/>
    <w:rsid w:val="616DDD24"/>
    <w:rsid w:val="642A320E"/>
    <w:rsid w:val="6F93090F"/>
    <w:rsid w:val="71264D8B"/>
    <w:rsid w:val="75CB0CB7"/>
    <w:rsid w:val="777D46CD"/>
    <w:rsid w:val="782174D1"/>
    <w:rsid w:val="7BFD3599"/>
    <w:rsid w:val="7D5DDACB"/>
    <w:rsid w:val="7EFE1735"/>
    <w:rsid w:val="BADF4119"/>
    <w:rsid w:val="C7BF0C18"/>
    <w:rsid w:val="EE3FB4EA"/>
    <w:rsid w:val="EFFDC266"/>
    <w:rsid w:val="F3F27CD2"/>
    <w:rsid w:val="F55FBA07"/>
    <w:rsid w:val="FAF51912"/>
    <w:rsid w:val="FBDE3327"/>
    <w:rsid w:val="FFFA2FD2"/>
    <w:rsid w:val="FFFF6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Strong"/>
    <w:basedOn w:val="4"/>
    <w:qFormat/>
    <w:uiPriority w:val="0"/>
    <w:rPr>
      <w:b/>
    </w:rPr>
  </w:style>
  <w:style w:type="character" w:styleId="6">
    <w:name w:val="page number"/>
    <w:basedOn w:val="4"/>
    <w:qFormat/>
    <w:uiPriority w:val="0"/>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2021-01-21T09:44:00Z</dcterms:created>
  <dc:creator>水木清华</dc:creator>
  <cp:lastModifiedBy>baixin</cp:lastModifiedBy>
  <cp:lastPrinted>2022-01-30T16:53:57Z</cp:lastPrinted>
  <dcterms:modified xsi:type="dcterms:W3CDTF">2022-01-30T16:55:19Z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76D48C05B4A74B64AA5E4273C3DE2F64</vt:lpwstr>
  </property>
</Properties>
</file>